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922" w:rsidRPr="00E01922" w:rsidRDefault="00E01922" w:rsidP="00E01922">
      <w:pPr>
        <w:pStyle w:val="Standard"/>
        <w:ind w:left="2127" w:firstLine="709"/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</w:pPr>
      <w:r w:rsidRPr="00E01922"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t xml:space="preserve">Requerimento nº </w:t>
      </w:r>
      <w:r w:rsidR="00D33493"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t>33</w:t>
      </w:r>
      <w:bookmarkStart w:id="0" w:name="_GoBack"/>
      <w:bookmarkEnd w:id="0"/>
      <w:r w:rsidRPr="00E01922"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t>/2018</w:t>
      </w:r>
    </w:p>
    <w:p w:rsidR="00E01922" w:rsidRPr="00F60635" w:rsidRDefault="00E01922" w:rsidP="00E01922">
      <w:pPr>
        <w:pStyle w:val="Standard"/>
        <w:jc w:val="center"/>
        <w:rPr>
          <w:rFonts w:ascii="Palatino Linotype" w:eastAsia="Arial Unicode MS" w:hAnsi="Palatino Linotype"/>
          <w:i/>
          <w:iCs/>
        </w:rPr>
      </w:pPr>
      <w:r w:rsidRPr="00F60635">
        <w:rPr>
          <w:rFonts w:ascii="Palatino Linotype" w:eastAsia="Arial Unicode MS" w:hAnsi="Palatino Linotype"/>
          <w:i/>
          <w:iCs/>
        </w:rPr>
        <w:t>“Solicita informações</w:t>
      </w:r>
      <w:r w:rsidR="00F60635" w:rsidRPr="00F60635">
        <w:rPr>
          <w:rFonts w:ascii="Palatino Linotype" w:eastAsia="Arial Unicode MS" w:hAnsi="Palatino Linotype"/>
          <w:i/>
          <w:iCs/>
        </w:rPr>
        <w:t xml:space="preserve"> sobre loteamentos clandestinos junto a represa </w:t>
      </w:r>
      <w:proofErr w:type="spellStart"/>
      <w:r w:rsidR="00F60635" w:rsidRPr="00F60635">
        <w:rPr>
          <w:rFonts w:ascii="Palatino Linotype" w:eastAsia="Arial Unicode MS" w:hAnsi="Palatino Linotype"/>
          <w:i/>
          <w:iCs/>
        </w:rPr>
        <w:t>Itupararanga</w:t>
      </w:r>
      <w:proofErr w:type="spellEnd"/>
      <w:r w:rsidRPr="00F60635">
        <w:rPr>
          <w:rFonts w:ascii="Palatino Linotype" w:eastAsia="Arial Unicode MS" w:hAnsi="Palatino Linotype"/>
          <w:i/>
          <w:iCs/>
        </w:rPr>
        <w:t>.”</w:t>
      </w:r>
    </w:p>
    <w:p w:rsidR="00E01922" w:rsidRDefault="00E01922" w:rsidP="00E01922">
      <w:pPr>
        <w:pStyle w:val="Standard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E01922" w:rsidRDefault="00E01922" w:rsidP="00E01922">
      <w:pPr>
        <w:pStyle w:val="Standard"/>
        <w:ind w:firstLine="709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E01922" w:rsidRPr="00F60635" w:rsidRDefault="00E01922" w:rsidP="00E01922">
      <w:pPr>
        <w:pStyle w:val="Standard"/>
        <w:ind w:firstLine="709"/>
        <w:rPr>
          <w:rFonts w:ascii="Palatino Linotype" w:eastAsia="Arial Unicode MS" w:hAnsi="Palatino Linotype"/>
          <w:i/>
          <w:iCs/>
          <w:sz w:val="26"/>
          <w:szCs w:val="26"/>
        </w:rPr>
      </w:pPr>
    </w:p>
    <w:p w:rsidR="00E01922" w:rsidRPr="00F60635" w:rsidRDefault="00E01922" w:rsidP="00E01922">
      <w:pPr>
        <w:pStyle w:val="Standard"/>
        <w:ind w:firstLine="709"/>
        <w:rPr>
          <w:rFonts w:ascii="Palatino Linotype" w:eastAsia="Arial Unicode MS" w:hAnsi="Palatino Linotype"/>
          <w:i/>
          <w:iCs/>
          <w:sz w:val="26"/>
          <w:szCs w:val="26"/>
        </w:rPr>
      </w:pPr>
      <w:r w:rsidRPr="00F60635">
        <w:rPr>
          <w:rFonts w:ascii="Palatino Linotype" w:eastAsia="Arial Unicode MS" w:hAnsi="Palatino Linotype"/>
          <w:i/>
          <w:iCs/>
          <w:sz w:val="26"/>
          <w:szCs w:val="26"/>
        </w:rPr>
        <w:t>Senhor Presidente:</w:t>
      </w:r>
    </w:p>
    <w:p w:rsidR="00E01922" w:rsidRPr="00F60635" w:rsidRDefault="00E01922" w:rsidP="00E01922">
      <w:pPr>
        <w:pStyle w:val="Standard"/>
        <w:ind w:firstLine="709"/>
        <w:rPr>
          <w:rFonts w:ascii="Palatino Linotype" w:eastAsia="Arial Unicode MS" w:hAnsi="Palatino Linotype"/>
          <w:i/>
          <w:iCs/>
          <w:sz w:val="26"/>
          <w:szCs w:val="26"/>
        </w:rPr>
      </w:pPr>
    </w:p>
    <w:p w:rsidR="00E01922" w:rsidRPr="00F60635" w:rsidRDefault="00E01922" w:rsidP="00E01922">
      <w:pPr>
        <w:pStyle w:val="Standard"/>
        <w:ind w:firstLine="709"/>
        <w:rPr>
          <w:rFonts w:ascii="Palatino Linotype" w:eastAsia="Arial Unicode MS" w:hAnsi="Palatino Linotype"/>
          <w:i/>
          <w:iCs/>
          <w:sz w:val="26"/>
          <w:szCs w:val="26"/>
        </w:rPr>
      </w:pPr>
    </w:p>
    <w:p w:rsidR="00E01922" w:rsidRDefault="00E01922" w:rsidP="00E01922">
      <w:pPr>
        <w:pStyle w:val="Standard"/>
        <w:ind w:firstLine="709"/>
        <w:rPr>
          <w:rFonts w:ascii="Palatino Linotype" w:eastAsia="Arial Unicode MS" w:hAnsi="Palatino Linotype"/>
          <w:i/>
          <w:iCs/>
          <w:sz w:val="26"/>
          <w:szCs w:val="26"/>
        </w:rPr>
      </w:pPr>
    </w:p>
    <w:p w:rsidR="00D72B3F" w:rsidRDefault="00D72B3F" w:rsidP="00E01922">
      <w:pPr>
        <w:pStyle w:val="Standard"/>
        <w:ind w:firstLine="709"/>
        <w:rPr>
          <w:rFonts w:ascii="Palatino Linotype" w:eastAsia="Arial Unicode MS" w:hAnsi="Palatino Linotype"/>
          <w:i/>
          <w:iCs/>
          <w:sz w:val="26"/>
          <w:szCs w:val="26"/>
        </w:rPr>
      </w:pPr>
    </w:p>
    <w:p w:rsidR="00D72B3F" w:rsidRPr="00F60635" w:rsidRDefault="00D72B3F" w:rsidP="00E01922">
      <w:pPr>
        <w:pStyle w:val="Standard"/>
        <w:ind w:firstLine="709"/>
        <w:rPr>
          <w:rFonts w:ascii="Palatino Linotype" w:eastAsia="Arial Unicode MS" w:hAnsi="Palatino Linotype"/>
          <w:i/>
          <w:iCs/>
          <w:sz w:val="26"/>
          <w:szCs w:val="26"/>
        </w:rPr>
      </w:pPr>
    </w:p>
    <w:p w:rsidR="00E01922" w:rsidRPr="00F60635" w:rsidRDefault="00E01922" w:rsidP="00E01922">
      <w:pPr>
        <w:pStyle w:val="Standard"/>
        <w:jc w:val="both"/>
        <w:rPr>
          <w:rFonts w:ascii="Palatino Linotype" w:eastAsia="Arial Unicode MS" w:hAnsi="Palatino Linotype" w:cs="Palatino Linotype"/>
          <w:i/>
          <w:iCs/>
          <w:sz w:val="26"/>
          <w:szCs w:val="26"/>
        </w:rPr>
      </w:pPr>
      <w:r w:rsidRPr="00F60635">
        <w:rPr>
          <w:rFonts w:ascii="Palatino Linotype" w:eastAsia="Arial Unicode MS" w:hAnsi="Palatino Linotype" w:cs="Palatino Linotype"/>
          <w:i/>
          <w:iCs/>
          <w:sz w:val="26"/>
          <w:szCs w:val="26"/>
        </w:rPr>
        <w:tab/>
        <w:t>Considerando a Le Federal 6766 de 19/12/1979, que dispõe sobre o parcelamento de solo e das outras procidências;</w:t>
      </w:r>
    </w:p>
    <w:p w:rsidR="00E01922" w:rsidRPr="00F60635" w:rsidRDefault="00E01922" w:rsidP="00E01922">
      <w:pPr>
        <w:pStyle w:val="Standard"/>
        <w:jc w:val="both"/>
        <w:rPr>
          <w:rFonts w:ascii="Palatino Linotype" w:eastAsia="Arial Unicode MS" w:hAnsi="Palatino Linotype" w:cs="Palatino Linotype"/>
          <w:i/>
          <w:iCs/>
          <w:sz w:val="26"/>
          <w:szCs w:val="26"/>
        </w:rPr>
      </w:pPr>
      <w:r w:rsidRPr="00F60635">
        <w:rPr>
          <w:rFonts w:ascii="Palatino Linotype" w:eastAsia="Arial Unicode MS" w:hAnsi="Palatino Linotype" w:cs="Palatino Linotype"/>
          <w:i/>
          <w:iCs/>
          <w:sz w:val="26"/>
          <w:szCs w:val="26"/>
        </w:rPr>
        <w:tab/>
        <w:t xml:space="preserve">Considerando que é do conhecimento que a Administração Municipal tem agido no sentido de proibir loteamentos irregulares no Município; </w:t>
      </w:r>
    </w:p>
    <w:p w:rsidR="00E01922" w:rsidRPr="00F60635" w:rsidRDefault="00E01922" w:rsidP="00E01922">
      <w:pPr>
        <w:pStyle w:val="Standard"/>
        <w:ind w:firstLine="708"/>
        <w:jc w:val="both"/>
        <w:rPr>
          <w:rFonts w:ascii="Palatino Linotype" w:eastAsia="Arial Unicode MS" w:hAnsi="Palatino Linotype" w:cs="Palatino Linotype"/>
          <w:i/>
          <w:iCs/>
          <w:sz w:val="26"/>
          <w:szCs w:val="26"/>
        </w:rPr>
      </w:pPr>
      <w:r w:rsidRPr="00F60635">
        <w:rPr>
          <w:rFonts w:ascii="Palatino Linotype" w:eastAsia="Arial Unicode MS" w:hAnsi="Palatino Linotype" w:cs="Palatino Linotype"/>
          <w:i/>
          <w:iCs/>
          <w:sz w:val="26"/>
          <w:szCs w:val="26"/>
        </w:rPr>
        <w:t>Considerando que o parcelamento de terras nas áreas rurais em nosso município para registro é 30m2.</w:t>
      </w:r>
    </w:p>
    <w:p w:rsidR="00E01922" w:rsidRPr="00F60635" w:rsidRDefault="00E01922" w:rsidP="00E01922">
      <w:pPr>
        <w:pStyle w:val="Standard"/>
        <w:ind w:firstLine="708"/>
        <w:jc w:val="both"/>
        <w:rPr>
          <w:sz w:val="26"/>
          <w:szCs w:val="26"/>
        </w:rPr>
      </w:pPr>
      <w:r w:rsidRPr="00F60635">
        <w:rPr>
          <w:rFonts w:ascii="Palatino Linotype" w:eastAsia="Arial Unicode MS" w:hAnsi="Palatino Linotype" w:cs="Palatino Linotype"/>
          <w:i/>
          <w:iCs/>
          <w:sz w:val="26"/>
          <w:szCs w:val="26"/>
        </w:rPr>
        <w:t>Requeiro à Mesa, ouvido o Egrégio Plenário e atendidas as demais disposições regimentais, que seja oficiado ao Sr. Prefeito Municipal os seguintes questionamentos de interesse público:</w:t>
      </w:r>
    </w:p>
    <w:p w:rsidR="00E01922" w:rsidRPr="00F60635" w:rsidRDefault="00E01922" w:rsidP="00E01922">
      <w:pPr>
        <w:pStyle w:val="Standard"/>
        <w:ind w:firstLine="705"/>
        <w:jc w:val="both"/>
        <w:rPr>
          <w:rFonts w:ascii="Palatino Linotype" w:hAnsi="Palatino Linotype"/>
          <w:i/>
          <w:iCs/>
          <w:sz w:val="26"/>
          <w:szCs w:val="26"/>
        </w:rPr>
      </w:pPr>
      <w:r w:rsidRPr="00F60635">
        <w:rPr>
          <w:rFonts w:ascii="Palatino Linotype" w:hAnsi="Palatino Linotype"/>
          <w:i/>
          <w:iCs/>
          <w:sz w:val="26"/>
          <w:szCs w:val="26"/>
        </w:rPr>
        <w:tab/>
        <w:t>1 – Existe alguma lei especial autorizando loteamento de auto padrão na zona rural nos limites com o município de Votorantim, no local denominado A.C.M</w:t>
      </w:r>
      <w:proofErr w:type="gramStart"/>
      <w:r w:rsidRPr="00F60635">
        <w:rPr>
          <w:rFonts w:ascii="Palatino Linotype" w:hAnsi="Palatino Linotype"/>
          <w:i/>
          <w:iCs/>
          <w:sz w:val="26"/>
          <w:szCs w:val="26"/>
        </w:rPr>
        <w:t>,  junto</w:t>
      </w:r>
      <w:proofErr w:type="gramEnd"/>
      <w:r w:rsidRPr="00F60635">
        <w:rPr>
          <w:rFonts w:ascii="Palatino Linotype" w:hAnsi="Palatino Linotype"/>
          <w:i/>
          <w:iCs/>
          <w:sz w:val="26"/>
          <w:szCs w:val="26"/>
        </w:rPr>
        <w:t xml:space="preserve"> a represa de </w:t>
      </w:r>
      <w:proofErr w:type="spellStart"/>
      <w:r w:rsidRPr="00F60635">
        <w:rPr>
          <w:rFonts w:ascii="Palatino Linotype" w:hAnsi="Palatino Linotype"/>
          <w:i/>
          <w:iCs/>
          <w:sz w:val="26"/>
          <w:szCs w:val="26"/>
        </w:rPr>
        <w:t>Itupararanga</w:t>
      </w:r>
      <w:proofErr w:type="spellEnd"/>
      <w:r w:rsidRPr="00F60635">
        <w:rPr>
          <w:rFonts w:ascii="Palatino Linotype" w:hAnsi="Palatino Linotype"/>
          <w:i/>
          <w:iCs/>
          <w:sz w:val="26"/>
          <w:szCs w:val="26"/>
        </w:rPr>
        <w:t>?</w:t>
      </w:r>
    </w:p>
    <w:p w:rsidR="00E01922" w:rsidRPr="00F60635" w:rsidRDefault="00E01922" w:rsidP="00E01922">
      <w:pPr>
        <w:pStyle w:val="Standard"/>
        <w:ind w:firstLine="705"/>
        <w:jc w:val="both"/>
        <w:rPr>
          <w:rFonts w:ascii="Palatino Linotype" w:hAnsi="Palatino Linotype"/>
          <w:i/>
          <w:iCs/>
          <w:sz w:val="26"/>
          <w:szCs w:val="26"/>
        </w:rPr>
      </w:pPr>
      <w:r w:rsidRPr="00F60635">
        <w:rPr>
          <w:rFonts w:ascii="Palatino Linotype" w:hAnsi="Palatino Linotype"/>
          <w:i/>
          <w:iCs/>
          <w:sz w:val="26"/>
          <w:szCs w:val="26"/>
        </w:rPr>
        <w:t xml:space="preserve">2 – O primeiro loteamento é o </w:t>
      </w:r>
      <w:r w:rsidR="00D531E7" w:rsidRPr="00F60635">
        <w:rPr>
          <w:rFonts w:ascii="Palatino Linotype" w:hAnsi="Palatino Linotype"/>
          <w:i/>
          <w:iCs/>
          <w:sz w:val="26"/>
          <w:szCs w:val="26"/>
        </w:rPr>
        <w:t>denominado de</w:t>
      </w:r>
      <w:r w:rsidRPr="00F60635">
        <w:rPr>
          <w:rFonts w:ascii="Palatino Linotype" w:hAnsi="Palatino Linotype"/>
          <w:i/>
          <w:iCs/>
          <w:sz w:val="26"/>
          <w:szCs w:val="26"/>
        </w:rPr>
        <w:t xml:space="preserve"> </w:t>
      </w:r>
      <w:proofErr w:type="spellStart"/>
      <w:r w:rsidRPr="00F60635">
        <w:rPr>
          <w:rFonts w:ascii="Palatino Linotype" w:hAnsi="Palatino Linotype"/>
          <w:i/>
          <w:iCs/>
          <w:sz w:val="26"/>
          <w:szCs w:val="26"/>
        </w:rPr>
        <w:t>Portier</w:t>
      </w:r>
      <w:proofErr w:type="spellEnd"/>
      <w:r w:rsidRPr="00F60635">
        <w:rPr>
          <w:rFonts w:ascii="Palatino Linotype" w:hAnsi="Palatino Linotype"/>
          <w:i/>
          <w:iCs/>
          <w:sz w:val="26"/>
          <w:szCs w:val="26"/>
        </w:rPr>
        <w:t xml:space="preserve">. O segundo loteamento na existência de placas com denominação área </w:t>
      </w:r>
      <w:r w:rsidR="00D531E7" w:rsidRPr="00F60635">
        <w:rPr>
          <w:rFonts w:ascii="Palatino Linotype" w:hAnsi="Palatino Linotype"/>
          <w:i/>
          <w:iCs/>
          <w:sz w:val="26"/>
          <w:szCs w:val="26"/>
        </w:rPr>
        <w:t>particular</w:t>
      </w:r>
      <w:r w:rsidRPr="00F60635">
        <w:rPr>
          <w:rFonts w:ascii="Palatino Linotype" w:hAnsi="Palatino Linotype"/>
          <w:i/>
          <w:iCs/>
          <w:sz w:val="26"/>
          <w:szCs w:val="26"/>
        </w:rPr>
        <w:t xml:space="preserve">, mas com nomes indicativas – </w:t>
      </w:r>
      <w:proofErr w:type="spellStart"/>
      <w:r w:rsidRPr="00F60635">
        <w:rPr>
          <w:rFonts w:ascii="Palatino Linotype" w:hAnsi="Palatino Linotype"/>
          <w:i/>
          <w:iCs/>
          <w:sz w:val="26"/>
          <w:szCs w:val="26"/>
        </w:rPr>
        <w:t>Brink</w:t>
      </w:r>
      <w:proofErr w:type="spellEnd"/>
      <w:r w:rsidRPr="00F60635">
        <w:rPr>
          <w:rFonts w:ascii="Palatino Linotype" w:hAnsi="Palatino Linotype"/>
          <w:i/>
          <w:iCs/>
          <w:sz w:val="26"/>
          <w:szCs w:val="26"/>
        </w:rPr>
        <w:t xml:space="preserve"> – Veronica e </w:t>
      </w:r>
      <w:proofErr w:type="spellStart"/>
      <w:r w:rsidR="00D531E7" w:rsidRPr="00F60635">
        <w:rPr>
          <w:rFonts w:ascii="Palatino Linotype" w:hAnsi="Palatino Linotype"/>
          <w:i/>
          <w:iCs/>
          <w:sz w:val="26"/>
          <w:szCs w:val="26"/>
        </w:rPr>
        <w:t>Levamana</w:t>
      </w:r>
      <w:proofErr w:type="spellEnd"/>
      <w:r w:rsidR="00D531E7" w:rsidRPr="00F60635">
        <w:rPr>
          <w:rFonts w:ascii="Palatino Linotype" w:hAnsi="Palatino Linotype"/>
          <w:i/>
          <w:iCs/>
          <w:sz w:val="26"/>
          <w:szCs w:val="26"/>
        </w:rPr>
        <w:t xml:space="preserve"> e telefone 33465117, já demarcados para vendas dos lotes</w:t>
      </w:r>
      <w:r w:rsidR="00D33493">
        <w:rPr>
          <w:rFonts w:ascii="Palatino Linotype" w:hAnsi="Palatino Linotype"/>
          <w:i/>
          <w:iCs/>
          <w:sz w:val="26"/>
          <w:szCs w:val="26"/>
        </w:rPr>
        <w:t xml:space="preserve"> (fotos em anexos do local)</w:t>
      </w:r>
      <w:r w:rsidR="00D531E7" w:rsidRPr="00F60635">
        <w:rPr>
          <w:rFonts w:ascii="Palatino Linotype" w:hAnsi="Palatino Linotype"/>
          <w:i/>
          <w:iCs/>
          <w:sz w:val="26"/>
          <w:szCs w:val="26"/>
        </w:rPr>
        <w:t xml:space="preserve">. </w:t>
      </w:r>
    </w:p>
    <w:p w:rsidR="00D531E7" w:rsidRPr="00F60635" w:rsidRDefault="00D531E7" w:rsidP="00E01922">
      <w:pPr>
        <w:pStyle w:val="Standard"/>
        <w:ind w:firstLine="705"/>
        <w:jc w:val="both"/>
        <w:rPr>
          <w:rFonts w:ascii="Palatino Linotype" w:hAnsi="Palatino Linotype"/>
          <w:i/>
          <w:iCs/>
          <w:sz w:val="26"/>
          <w:szCs w:val="26"/>
        </w:rPr>
      </w:pPr>
      <w:r w:rsidRPr="00F60635">
        <w:rPr>
          <w:rFonts w:ascii="Palatino Linotype" w:hAnsi="Palatino Linotype"/>
          <w:i/>
          <w:iCs/>
          <w:sz w:val="26"/>
          <w:szCs w:val="26"/>
        </w:rPr>
        <w:t>3 – Como está a documentação junto a prefeitura e aos órgãos ambientais para os dois loteamentos?</w:t>
      </w:r>
    </w:p>
    <w:p w:rsidR="00D531E7" w:rsidRPr="00F60635" w:rsidRDefault="00D531E7" w:rsidP="00E01922">
      <w:pPr>
        <w:pStyle w:val="Standard"/>
        <w:ind w:firstLine="705"/>
        <w:jc w:val="both"/>
        <w:rPr>
          <w:rFonts w:ascii="Palatino Linotype" w:hAnsi="Palatino Linotype"/>
          <w:i/>
          <w:iCs/>
          <w:sz w:val="26"/>
          <w:szCs w:val="26"/>
        </w:rPr>
      </w:pPr>
      <w:r w:rsidRPr="00F60635">
        <w:rPr>
          <w:rFonts w:ascii="Palatino Linotype" w:hAnsi="Palatino Linotype"/>
          <w:i/>
          <w:iCs/>
          <w:sz w:val="26"/>
          <w:szCs w:val="26"/>
        </w:rPr>
        <w:t>4 – Em não podendo haver parcelamento do solo na zona rural infringindo a Lei 6766/79, quem autorizou os loteamentos?</w:t>
      </w:r>
    </w:p>
    <w:p w:rsidR="00D531E7" w:rsidRPr="00F60635" w:rsidRDefault="00D531E7" w:rsidP="00E01922">
      <w:pPr>
        <w:pStyle w:val="Standard"/>
        <w:ind w:firstLine="705"/>
        <w:jc w:val="both"/>
        <w:rPr>
          <w:rFonts w:ascii="Palatino Linotype" w:hAnsi="Palatino Linotype"/>
          <w:i/>
          <w:iCs/>
          <w:sz w:val="26"/>
          <w:szCs w:val="26"/>
        </w:rPr>
      </w:pPr>
      <w:r w:rsidRPr="00F60635">
        <w:rPr>
          <w:rFonts w:ascii="Palatino Linotype" w:hAnsi="Palatino Linotype"/>
          <w:i/>
          <w:iCs/>
          <w:sz w:val="26"/>
          <w:szCs w:val="26"/>
        </w:rPr>
        <w:t>5 – É do conhecimento da administração e dos órgãos de fiscalização do município ta</w:t>
      </w:r>
      <w:r w:rsidR="00D33493">
        <w:rPr>
          <w:rFonts w:ascii="Palatino Linotype" w:hAnsi="Palatino Linotype"/>
          <w:i/>
          <w:iCs/>
          <w:sz w:val="26"/>
          <w:szCs w:val="26"/>
        </w:rPr>
        <w:t>i</w:t>
      </w:r>
      <w:r w:rsidRPr="00F60635">
        <w:rPr>
          <w:rFonts w:ascii="Palatino Linotype" w:hAnsi="Palatino Linotype"/>
          <w:i/>
          <w:iCs/>
          <w:sz w:val="26"/>
          <w:szCs w:val="26"/>
        </w:rPr>
        <w:t>s loteamentos e que já estão efetuadas vendas no local?</w:t>
      </w:r>
    </w:p>
    <w:p w:rsidR="00D531E7" w:rsidRPr="00F60635" w:rsidRDefault="00D531E7" w:rsidP="00E01922">
      <w:pPr>
        <w:pStyle w:val="Standard"/>
        <w:ind w:firstLine="705"/>
        <w:jc w:val="both"/>
        <w:rPr>
          <w:rFonts w:ascii="Palatino Linotype" w:hAnsi="Palatino Linotype"/>
          <w:i/>
          <w:iCs/>
          <w:sz w:val="26"/>
          <w:szCs w:val="26"/>
        </w:rPr>
      </w:pPr>
      <w:r w:rsidRPr="00F60635">
        <w:rPr>
          <w:rFonts w:ascii="Palatino Linotype" w:hAnsi="Palatino Linotype"/>
          <w:i/>
          <w:iCs/>
          <w:sz w:val="26"/>
          <w:szCs w:val="26"/>
        </w:rPr>
        <w:t>6 – Em existindo documentação junto a prefeitura por parte dos loteamentos, consta audiência junto ao INCRA conforme art. 53 da Lei 6766/79 para o parcelamento?</w:t>
      </w:r>
    </w:p>
    <w:p w:rsidR="00D531E7" w:rsidRPr="00F60635" w:rsidRDefault="00D531E7" w:rsidP="00E01922">
      <w:pPr>
        <w:pStyle w:val="Standard"/>
        <w:ind w:firstLine="705"/>
        <w:jc w:val="both"/>
        <w:rPr>
          <w:rFonts w:ascii="Palatino Linotype" w:hAnsi="Palatino Linotype"/>
          <w:i/>
          <w:iCs/>
          <w:sz w:val="26"/>
          <w:szCs w:val="26"/>
        </w:rPr>
      </w:pPr>
      <w:r w:rsidRPr="00F60635">
        <w:rPr>
          <w:rFonts w:ascii="Palatino Linotype" w:hAnsi="Palatino Linotype"/>
          <w:i/>
          <w:iCs/>
          <w:sz w:val="26"/>
          <w:szCs w:val="26"/>
        </w:rPr>
        <w:t>7 – Em não havendo documentação necessário para vendas dos lotes nos dois loteamentos, quais providencias serão tomadas pela administração?</w:t>
      </w:r>
    </w:p>
    <w:p w:rsidR="00D531E7" w:rsidRPr="00F60635" w:rsidRDefault="00D531E7" w:rsidP="00D531E7">
      <w:pPr>
        <w:pStyle w:val="Standard"/>
        <w:jc w:val="both"/>
        <w:rPr>
          <w:rFonts w:ascii="Palatino Linotype" w:hAnsi="Palatino Linotype"/>
          <w:i/>
          <w:iCs/>
          <w:sz w:val="26"/>
          <w:szCs w:val="26"/>
        </w:rPr>
      </w:pPr>
    </w:p>
    <w:p w:rsidR="00D531E7" w:rsidRPr="00F60635" w:rsidRDefault="00D531E7" w:rsidP="00D531E7">
      <w:pPr>
        <w:pStyle w:val="Standard"/>
        <w:jc w:val="both"/>
        <w:rPr>
          <w:rFonts w:ascii="Palatino Linotype" w:hAnsi="Palatino Linotype"/>
          <w:b/>
          <w:i/>
          <w:iCs/>
          <w:sz w:val="26"/>
          <w:szCs w:val="26"/>
          <w:u w:val="single"/>
        </w:rPr>
      </w:pPr>
      <w:r w:rsidRPr="00F60635">
        <w:rPr>
          <w:rFonts w:ascii="Palatino Linotype" w:hAnsi="Palatino Linotype"/>
          <w:b/>
          <w:i/>
          <w:iCs/>
          <w:sz w:val="26"/>
          <w:szCs w:val="26"/>
          <w:u w:val="single"/>
        </w:rPr>
        <w:t>Justificativa:</w:t>
      </w:r>
    </w:p>
    <w:p w:rsidR="00D531E7" w:rsidRPr="00F60635" w:rsidRDefault="00D531E7" w:rsidP="00D531E7">
      <w:pPr>
        <w:pStyle w:val="Standard"/>
        <w:jc w:val="both"/>
        <w:rPr>
          <w:rFonts w:ascii="Palatino Linotype" w:hAnsi="Palatino Linotype"/>
          <w:i/>
          <w:iCs/>
          <w:sz w:val="26"/>
          <w:szCs w:val="26"/>
        </w:rPr>
      </w:pPr>
    </w:p>
    <w:p w:rsidR="00E01922" w:rsidRPr="00F60635" w:rsidRDefault="00D531E7" w:rsidP="00E01922">
      <w:pPr>
        <w:pStyle w:val="Standard"/>
        <w:jc w:val="both"/>
        <w:rPr>
          <w:rFonts w:ascii="Palatino Linotype" w:hAnsi="Palatino Linotype"/>
          <w:i/>
          <w:iCs/>
          <w:sz w:val="26"/>
          <w:szCs w:val="26"/>
        </w:rPr>
      </w:pPr>
      <w:r w:rsidRPr="00F60635">
        <w:rPr>
          <w:rFonts w:ascii="Palatino Linotype" w:hAnsi="Palatino Linotype"/>
          <w:i/>
          <w:iCs/>
          <w:sz w:val="26"/>
          <w:szCs w:val="26"/>
        </w:rPr>
        <w:t>Visa com tal procedimento em alertar a administração pública contra uma possível ação pública por</w:t>
      </w:r>
      <w:r w:rsidR="00F60635" w:rsidRPr="00F60635">
        <w:rPr>
          <w:rFonts w:ascii="Palatino Linotype" w:hAnsi="Palatino Linotype"/>
          <w:i/>
          <w:iCs/>
          <w:sz w:val="26"/>
          <w:szCs w:val="26"/>
        </w:rPr>
        <w:t xml:space="preserve"> i</w:t>
      </w:r>
      <w:r w:rsidRPr="00F60635">
        <w:rPr>
          <w:rFonts w:ascii="Palatino Linotype" w:hAnsi="Palatino Linotype"/>
          <w:i/>
          <w:iCs/>
          <w:sz w:val="26"/>
          <w:szCs w:val="26"/>
        </w:rPr>
        <w:t>n</w:t>
      </w:r>
      <w:r w:rsidR="00F60635" w:rsidRPr="00F60635">
        <w:rPr>
          <w:rFonts w:ascii="Palatino Linotype" w:hAnsi="Palatino Linotype"/>
          <w:i/>
          <w:iCs/>
          <w:sz w:val="26"/>
          <w:szCs w:val="26"/>
        </w:rPr>
        <w:t>ér</w:t>
      </w:r>
      <w:r w:rsidRPr="00F60635">
        <w:rPr>
          <w:rFonts w:ascii="Palatino Linotype" w:hAnsi="Palatino Linotype"/>
          <w:i/>
          <w:iCs/>
          <w:sz w:val="26"/>
          <w:szCs w:val="26"/>
        </w:rPr>
        <w:t xml:space="preserve">cia em não fiscalizar tais loteamentos, quando efetuados na clandestinidade ou </w:t>
      </w:r>
      <w:r w:rsidR="00F60635" w:rsidRPr="00F60635">
        <w:rPr>
          <w:rFonts w:ascii="Palatino Linotype" w:hAnsi="Palatino Linotype"/>
          <w:i/>
          <w:iCs/>
          <w:sz w:val="26"/>
          <w:szCs w:val="26"/>
        </w:rPr>
        <w:t>à revelia</w:t>
      </w:r>
      <w:r w:rsidRPr="00F60635">
        <w:rPr>
          <w:rFonts w:ascii="Palatino Linotype" w:hAnsi="Palatino Linotype"/>
          <w:i/>
          <w:iCs/>
          <w:sz w:val="26"/>
          <w:szCs w:val="26"/>
        </w:rPr>
        <w:t xml:space="preserve"> da administração</w:t>
      </w:r>
      <w:r w:rsidR="00F60635" w:rsidRPr="00F60635">
        <w:rPr>
          <w:rFonts w:ascii="Palatino Linotype" w:hAnsi="Palatino Linotype"/>
          <w:i/>
          <w:iCs/>
          <w:sz w:val="26"/>
          <w:szCs w:val="26"/>
        </w:rPr>
        <w:t xml:space="preserve"> municipal.</w:t>
      </w:r>
    </w:p>
    <w:p w:rsidR="00E01922" w:rsidRPr="00F60635" w:rsidRDefault="00E01922" w:rsidP="00E01922">
      <w:pPr>
        <w:pStyle w:val="Standard"/>
        <w:jc w:val="both"/>
        <w:rPr>
          <w:sz w:val="26"/>
          <w:szCs w:val="26"/>
        </w:rPr>
      </w:pPr>
      <w:r w:rsidRPr="00F60635">
        <w:rPr>
          <w:rFonts w:ascii="Palatino Linotype" w:hAnsi="Palatino Linotype"/>
          <w:i/>
          <w:iCs/>
          <w:sz w:val="26"/>
          <w:szCs w:val="26"/>
        </w:rPr>
        <w:tab/>
        <w:t xml:space="preserve"> </w:t>
      </w:r>
    </w:p>
    <w:p w:rsidR="00E01922" w:rsidRPr="00F60635" w:rsidRDefault="00E01922" w:rsidP="00E01922">
      <w:pPr>
        <w:pStyle w:val="Standard"/>
        <w:jc w:val="center"/>
        <w:rPr>
          <w:rFonts w:ascii="Palatino Linotype" w:eastAsia="Arial Unicode MS" w:hAnsi="Palatino Linotype" w:cs="Palatino Linotype"/>
          <w:i/>
          <w:iCs/>
          <w:sz w:val="26"/>
          <w:szCs w:val="26"/>
        </w:rPr>
      </w:pPr>
      <w:r w:rsidRPr="00F60635">
        <w:rPr>
          <w:rFonts w:ascii="Palatino Linotype" w:eastAsia="Arial Unicode MS" w:hAnsi="Palatino Linotype" w:cs="Palatino Linotype"/>
          <w:i/>
          <w:iCs/>
          <w:sz w:val="26"/>
          <w:szCs w:val="26"/>
        </w:rPr>
        <w:t>Plenário Vereador Roberto Rolim da Silva, 1</w:t>
      </w:r>
      <w:r w:rsidR="00F60635" w:rsidRPr="00F60635">
        <w:rPr>
          <w:rFonts w:ascii="Palatino Linotype" w:eastAsia="Arial Unicode MS" w:hAnsi="Palatino Linotype" w:cs="Palatino Linotype"/>
          <w:i/>
          <w:iCs/>
          <w:sz w:val="26"/>
          <w:szCs w:val="26"/>
        </w:rPr>
        <w:t>9 de abril</w:t>
      </w:r>
      <w:r w:rsidRPr="00F60635">
        <w:rPr>
          <w:rFonts w:ascii="Palatino Linotype" w:eastAsia="Arial Unicode MS" w:hAnsi="Palatino Linotype" w:cs="Palatino Linotype"/>
          <w:i/>
          <w:iCs/>
          <w:sz w:val="26"/>
          <w:szCs w:val="26"/>
        </w:rPr>
        <w:t xml:space="preserve"> de 2018.</w:t>
      </w:r>
    </w:p>
    <w:p w:rsidR="00E01922" w:rsidRPr="00F60635" w:rsidRDefault="00E01922" w:rsidP="00E01922">
      <w:pPr>
        <w:pStyle w:val="Standard"/>
        <w:ind w:left="709" w:firstLine="709"/>
        <w:jc w:val="center"/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</w:pPr>
    </w:p>
    <w:p w:rsidR="00E01922" w:rsidRPr="00F60635" w:rsidRDefault="00E01922" w:rsidP="00E01922">
      <w:pPr>
        <w:pStyle w:val="Standard"/>
        <w:jc w:val="center"/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</w:pPr>
    </w:p>
    <w:p w:rsidR="00F60635" w:rsidRPr="00F60635" w:rsidRDefault="00E01922" w:rsidP="00E01922">
      <w:pPr>
        <w:pStyle w:val="Standard"/>
        <w:jc w:val="center"/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</w:pPr>
      <w:r w:rsidRPr="00F60635"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  <w:t xml:space="preserve">Daniel Dias de Moraes </w:t>
      </w:r>
      <w:r w:rsidR="00F60635" w:rsidRPr="00F60635"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  <w:br/>
        <w:t xml:space="preserve">Vereador </w:t>
      </w:r>
      <w:r w:rsidRPr="00F60635"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  <w:t xml:space="preserve">(PSB)  </w:t>
      </w:r>
    </w:p>
    <w:p w:rsidR="00F60635" w:rsidRPr="00F60635" w:rsidRDefault="00F60635" w:rsidP="00E01922">
      <w:pPr>
        <w:pStyle w:val="Standard"/>
        <w:jc w:val="center"/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</w:pPr>
    </w:p>
    <w:p w:rsidR="00F60635" w:rsidRPr="00F60635" w:rsidRDefault="00F60635" w:rsidP="00E01922">
      <w:pPr>
        <w:pStyle w:val="Standard"/>
        <w:jc w:val="center"/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</w:pPr>
    </w:p>
    <w:p w:rsidR="00F60635" w:rsidRPr="00F60635" w:rsidRDefault="00F60635" w:rsidP="00E01922">
      <w:pPr>
        <w:pStyle w:val="Standard"/>
        <w:jc w:val="center"/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</w:pPr>
      <w:r w:rsidRPr="00F60635"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  <w:t>Alex Pinheiro da Silva</w:t>
      </w:r>
    </w:p>
    <w:p w:rsidR="00E01922" w:rsidRPr="00F60635" w:rsidRDefault="00F60635" w:rsidP="00E01922">
      <w:pPr>
        <w:pStyle w:val="Standard"/>
        <w:jc w:val="center"/>
        <w:rPr>
          <w:sz w:val="26"/>
          <w:szCs w:val="26"/>
        </w:rPr>
      </w:pPr>
      <w:r w:rsidRPr="00F60635"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  <w:t>Vereador (PTB)</w:t>
      </w:r>
      <w:r w:rsidR="00E01922" w:rsidRPr="00F60635"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  <w:t xml:space="preserve">          </w:t>
      </w:r>
    </w:p>
    <w:p w:rsidR="0019481D" w:rsidRDefault="00D33493"/>
    <w:sectPr w:rsidR="0019481D" w:rsidSect="00D72B3F">
      <w:headerReference w:type="default" r:id="rId7"/>
      <w:pgSz w:w="11906" w:h="16838"/>
      <w:pgMar w:top="1134" w:right="849" w:bottom="1134" w:left="1485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569" w:rsidRDefault="00996569" w:rsidP="00E01922">
      <w:r>
        <w:separator/>
      </w:r>
    </w:p>
  </w:endnote>
  <w:endnote w:type="continuationSeparator" w:id="0">
    <w:p w:rsidR="00996569" w:rsidRDefault="00996569" w:rsidP="00E0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569" w:rsidRDefault="00996569" w:rsidP="00E01922">
      <w:r>
        <w:separator/>
      </w:r>
    </w:p>
  </w:footnote>
  <w:footnote w:type="continuationSeparator" w:id="0">
    <w:p w:rsidR="00996569" w:rsidRDefault="00996569" w:rsidP="00E0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922" w:rsidRDefault="00E01922" w:rsidP="00E01922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92115C5" wp14:editId="054D1085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E01922" w:rsidRDefault="00E01922" w:rsidP="00E01922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E01922" w:rsidRDefault="00E01922" w:rsidP="00E01922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E01922" w:rsidRDefault="00E01922" w:rsidP="00E01922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9E6051" w:rsidRDefault="00D33493">
    <w:pPr>
      <w:pStyle w:val="Standard"/>
      <w:jc w:val="center"/>
      <w:rPr>
        <w:rFonts w:ascii="Palatino Linotype" w:hAnsi="Palatino Linotype"/>
        <w:b/>
        <w:i/>
        <w:sz w:val="52"/>
        <w:szCs w:val="5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82F26"/>
    <w:multiLevelType w:val="multilevel"/>
    <w:tmpl w:val="1CD80B86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2"/>
    <w:rsid w:val="00205417"/>
    <w:rsid w:val="00334C26"/>
    <w:rsid w:val="004137FB"/>
    <w:rsid w:val="004B1F71"/>
    <w:rsid w:val="00600583"/>
    <w:rsid w:val="00751BA1"/>
    <w:rsid w:val="00996569"/>
    <w:rsid w:val="00CA17EE"/>
    <w:rsid w:val="00D33493"/>
    <w:rsid w:val="00D531E7"/>
    <w:rsid w:val="00D72B3F"/>
    <w:rsid w:val="00E01922"/>
    <w:rsid w:val="00E05C59"/>
    <w:rsid w:val="00F60635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D54151"/>
  <w15:chartTrackingRefBased/>
  <w15:docId w15:val="{B5B7A53E-1A5B-45B0-B97E-10061E66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019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019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01922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0192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01922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0192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2B3F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B3F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2018-04-20T12:25:00Z</cp:lastPrinted>
  <dcterms:created xsi:type="dcterms:W3CDTF">2018-04-20T12:30:00Z</dcterms:created>
  <dcterms:modified xsi:type="dcterms:W3CDTF">2018-04-20T12:30:00Z</dcterms:modified>
</cp:coreProperties>
</file>